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D" w:rsidRDefault="00B47C9A">
      <w:pPr>
        <w:jc w:val="center"/>
        <w:rPr>
          <w:rFonts w:ascii="楷体_GB2312" w:eastAsia="楷体_GB2312" w:hAnsi="楷体_GB2312" w:cs="楷体_GB2312"/>
          <w:b/>
          <w:bCs/>
          <w:sz w:val="48"/>
          <w:szCs w:val="48"/>
        </w:rPr>
      </w:pPr>
      <w:r>
        <w:rPr>
          <w:rFonts w:ascii="楷体_GB2312" w:eastAsia="楷体_GB2312" w:hAnsi="楷体_GB2312" w:cs="楷体_GB2312" w:hint="eastAsia"/>
          <w:b/>
          <w:bCs/>
          <w:sz w:val="48"/>
          <w:szCs w:val="48"/>
        </w:rPr>
        <w:t>关于举办大学生创新创业大赛的通知</w:t>
      </w:r>
    </w:p>
    <w:p w:rsidR="00533E2D" w:rsidRDefault="00B47C9A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为贯彻落实《教育部关于做好</w:t>
      </w:r>
      <w:r>
        <w:rPr>
          <w:rFonts w:ascii="楷体_GB2312" w:eastAsia="楷体_GB2312" w:hAnsi="楷体_GB2312" w:cs="楷体_GB2312" w:hint="eastAsia"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sz w:val="28"/>
          <w:szCs w:val="28"/>
        </w:rPr>
        <w:t>届全国普通高等学校毕业生就业创业工作的通知》现将相关事宜通知如下：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组织单位：</w:t>
      </w:r>
      <w:r>
        <w:rPr>
          <w:rFonts w:ascii="楷体_GB2312" w:eastAsia="楷体_GB2312" w:hAnsi="楷体_GB2312" w:cs="楷体_GB2312" w:hint="eastAsia"/>
          <w:sz w:val="28"/>
          <w:szCs w:val="28"/>
        </w:rPr>
        <w:t>创新创业教育学院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承办单位：</w:t>
      </w:r>
      <w:r>
        <w:rPr>
          <w:rFonts w:ascii="楷体_GB2312" w:eastAsia="楷体_GB2312" w:hAnsi="楷体_GB2312" w:cs="楷体_GB2312" w:hint="eastAsia"/>
          <w:sz w:val="28"/>
          <w:szCs w:val="28"/>
        </w:rPr>
        <w:t>管理学院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比赛主题：</w:t>
      </w:r>
      <w:r>
        <w:rPr>
          <w:rFonts w:ascii="楷体_GB2312" w:eastAsia="楷体_GB2312" w:hAnsi="楷体_GB2312" w:cs="楷体_GB2312" w:hint="eastAsia"/>
          <w:sz w:val="28"/>
          <w:szCs w:val="28"/>
        </w:rPr>
        <w:t>创新创业，铸就梦想！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参赛对象：</w:t>
      </w:r>
      <w:r>
        <w:rPr>
          <w:rFonts w:ascii="楷体_GB2312" w:eastAsia="楷体_GB2312" w:hAnsi="楷体_GB2312" w:cs="楷体_GB2312" w:hint="eastAsia"/>
          <w:sz w:val="28"/>
          <w:szCs w:val="28"/>
        </w:rPr>
        <w:t>全体非毕业班学生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比赛地点：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双创大讲堂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比赛时间：</w:t>
      </w:r>
      <w:r>
        <w:rPr>
          <w:rFonts w:ascii="楷体_GB2312" w:eastAsia="楷体_GB2312" w:hAnsi="楷体_GB2312" w:cs="楷体_GB2312" w:hint="eastAsia"/>
          <w:sz w:val="28"/>
          <w:szCs w:val="28"/>
        </w:rPr>
        <w:t>12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sz w:val="28"/>
          <w:szCs w:val="28"/>
        </w:rPr>
        <w:t>27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DD3E6A" w:rsidRPr="00DD3E6A" w:rsidRDefault="00B47C9A" w:rsidP="00A72AEA">
      <w:pPr>
        <w:numPr>
          <w:ilvl w:val="0"/>
          <w:numId w:val="1"/>
        </w:numPr>
        <w:ind w:firstLineChars="200" w:firstLine="562"/>
        <w:jc w:val="left"/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比赛形式：</w:t>
      </w:r>
      <w:r>
        <w:rPr>
          <w:rFonts w:ascii="楷体_GB2312" w:eastAsia="楷体_GB2312" w:hAnsi="楷体_GB2312" w:cs="楷体_GB2312" w:hint="eastAsia"/>
          <w:sz w:val="28"/>
          <w:szCs w:val="28"/>
        </w:rPr>
        <w:t>创业项目计划书</w:t>
      </w:r>
      <w:r w:rsidR="00A72AEA">
        <w:rPr>
          <w:rFonts w:ascii="楷体_GB2312" w:eastAsia="楷体_GB2312" w:hAnsi="楷体_GB2312" w:cs="楷体_GB2312" w:hint="eastAsia"/>
          <w:sz w:val="28"/>
          <w:szCs w:val="28"/>
        </w:rPr>
        <w:t>评审，PPT</w:t>
      </w:r>
      <w:r w:rsidR="00DD3E6A">
        <w:rPr>
          <w:rFonts w:ascii="楷体_GB2312" w:eastAsia="楷体_GB2312" w:hAnsi="楷体_GB2312" w:cs="楷体_GB2312" w:hint="eastAsia"/>
          <w:sz w:val="28"/>
          <w:szCs w:val="28"/>
        </w:rPr>
        <w:t>汇报展示、项目</w:t>
      </w:r>
      <w:r w:rsidR="00A72AEA">
        <w:rPr>
          <w:rFonts w:ascii="楷体_GB2312" w:eastAsia="楷体_GB2312" w:hAnsi="楷体_GB2312" w:cs="楷体_GB2312" w:hint="eastAsia"/>
          <w:sz w:val="28"/>
          <w:szCs w:val="28"/>
        </w:rPr>
        <w:t>答辩</w:t>
      </w:r>
    </w:p>
    <w:p w:rsidR="00533E2D" w:rsidRDefault="00DD3E6A" w:rsidP="00DD3E6A">
      <w:pPr>
        <w:ind w:left="560"/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三部分。</w:t>
      </w:r>
    </w:p>
    <w:p w:rsidR="00533E2D" w:rsidRDefault="00B47C9A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比赛规则：</w:t>
      </w:r>
    </w:p>
    <w:p w:rsidR="00533E2D" w:rsidRDefault="00B47C9A">
      <w:pPr>
        <w:pStyle w:val="a8"/>
        <w:numPr>
          <w:ilvl w:val="0"/>
          <w:numId w:val="2"/>
        </w:numPr>
        <w:ind w:firstLineChars="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比赛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分比赛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分为初赛、复赛、决赛。</w:t>
      </w:r>
    </w:p>
    <w:p w:rsidR="00533E2D" w:rsidRPr="00201A5B" w:rsidRDefault="00201A5B">
      <w:pPr>
        <w:pStyle w:val="a8"/>
        <w:numPr>
          <w:ilvl w:val="0"/>
          <w:numId w:val="2"/>
        </w:numPr>
        <w:ind w:firstLineChars="0"/>
        <w:rPr>
          <w:rFonts w:ascii="楷体_GB2312" w:eastAsia="楷体_GB2312" w:hAnsi="楷体_GB2312" w:cs="楷体_GB2312"/>
          <w:sz w:val="28"/>
          <w:szCs w:val="28"/>
        </w:rPr>
      </w:pPr>
      <w:r w:rsidRPr="00201A5B">
        <w:rPr>
          <w:rFonts w:ascii="楷体_GB2312" w:eastAsia="楷体_GB2312" w:hAnsi="楷体_GB2312" w:cs="楷体_GB2312" w:hint="eastAsia"/>
          <w:sz w:val="28"/>
          <w:szCs w:val="28"/>
        </w:rPr>
        <w:t>初赛由各二级学院择期举行。</w:t>
      </w:r>
    </w:p>
    <w:p w:rsidR="00533E2D" w:rsidRDefault="00F60FC9">
      <w:pPr>
        <w:pStyle w:val="a8"/>
        <w:numPr>
          <w:ilvl w:val="0"/>
          <w:numId w:val="2"/>
        </w:numPr>
        <w:ind w:firstLineChars="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12月14日前</w:t>
      </w:r>
      <w:bookmarkStart w:id="0" w:name="_GoBack"/>
      <w:bookmarkEnd w:id="0"/>
      <w:r w:rsidR="003A0CBA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复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赛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由每个学院推荐至少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3-5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个项目（会计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5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个，金贸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4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个，体育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个，其他各二级学院至少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3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个）进入复赛。</w:t>
      </w:r>
      <w:r>
        <w:rPr>
          <w:rFonts w:ascii="楷体_GB2312" w:eastAsia="楷体_GB2312" w:hAnsi="楷体_GB2312" w:cs="楷体_GB2312" w:hint="eastAsia"/>
          <w:sz w:val="28"/>
          <w:szCs w:val="28"/>
        </w:rPr>
        <w:t>12月21日复赛</w:t>
      </w:r>
      <w:proofErr w:type="gramStart"/>
      <w:r w:rsidR="003A0CBA">
        <w:rPr>
          <w:rFonts w:ascii="楷体_GB2312" w:eastAsia="楷体_GB2312" w:hAnsi="楷体_GB2312" w:cs="楷体_GB2312" w:hint="eastAsia"/>
          <w:sz w:val="28"/>
          <w:szCs w:val="28"/>
        </w:rPr>
        <w:t>由创新</w:t>
      </w:r>
      <w:proofErr w:type="gramEnd"/>
      <w:r w:rsidR="003A0CBA">
        <w:rPr>
          <w:rFonts w:ascii="楷体_GB2312" w:eastAsia="楷体_GB2312" w:hAnsi="楷体_GB2312" w:cs="楷体_GB2312" w:hint="eastAsia"/>
          <w:sz w:val="28"/>
          <w:szCs w:val="28"/>
        </w:rPr>
        <w:t>创业教育学院和管理学院共同组织，届时会</w:t>
      </w:r>
      <w:r w:rsidR="003A0CBA" w:rsidRPr="003A0CBA">
        <w:rPr>
          <w:rFonts w:ascii="楷体_GB2312" w:eastAsia="楷体_GB2312" w:hAnsi="楷体_GB2312" w:cs="楷体_GB2312" w:hint="eastAsia"/>
          <w:sz w:val="28"/>
          <w:szCs w:val="28"/>
        </w:rPr>
        <w:t>组织专家、老师</w:t>
      </w:r>
      <w:r w:rsidR="003A0CBA">
        <w:rPr>
          <w:rFonts w:ascii="楷体_GB2312" w:eastAsia="楷体_GB2312" w:hAnsi="楷体_GB2312" w:cs="楷体_GB2312" w:hint="eastAsia"/>
          <w:sz w:val="28"/>
          <w:szCs w:val="28"/>
        </w:rPr>
        <w:t>评选出10-15个项目进入决赛。</w:t>
      </w:r>
    </w:p>
    <w:p w:rsidR="00533E2D" w:rsidRDefault="00B47C9A">
      <w:pPr>
        <w:pStyle w:val="a8"/>
        <w:numPr>
          <w:ilvl w:val="0"/>
          <w:numId w:val="2"/>
        </w:numPr>
        <w:ind w:firstLineChars="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12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sz w:val="28"/>
          <w:szCs w:val="28"/>
        </w:rPr>
        <w:t>27</w:t>
      </w:r>
      <w:r>
        <w:rPr>
          <w:rFonts w:ascii="楷体_GB2312" w:eastAsia="楷体_GB2312" w:hAnsi="楷体_GB2312" w:cs="楷体_GB2312" w:hint="eastAsia"/>
          <w:sz w:val="28"/>
          <w:szCs w:val="28"/>
        </w:rPr>
        <w:t>日双创大讲堂决赛，颁奖。</w:t>
      </w:r>
    </w:p>
    <w:p w:rsidR="00533E2D" w:rsidRDefault="00201A5B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5</w:t>
      </w:r>
      <w:r w:rsidR="00B47C9A">
        <w:rPr>
          <w:rFonts w:ascii="楷体_GB2312" w:eastAsia="楷体_GB2312" w:hAnsi="楷体_GB2312" w:cs="楷体_GB2312" w:hint="eastAsia"/>
          <w:sz w:val="28"/>
          <w:szCs w:val="28"/>
        </w:rPr>
        <w:t>、现场比赛：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(1)</w:t>
      </w:r>
      <w:r>
        <w:rPr>
          <w:rFonts w:ascii="楷体_GB2312" w:eastAsia="楷体_GB2312" w:hAnsi="楷体_GB2312" w:cs="楷体_GB2312" w:hint="eastAsia"/>
          <w:sz w:val="28"/>
          <w:szCs w:val="28"/>
        </w:rPr>
        <w:t>参赛选手根据抽签顺序，依次上台进行</w:t>
      </w:r>
      <w:r w:rsidR="003F22D2" w:rsidRPr="00201A5B">
        <w:rPr>
          <w:rFonts w:ascii="楷体_GB2312" w:eastAsia="楷体_GB2312" w:hAnsi="楷体_GB2312" w:cs="楷体_GB2312" w:hint="eastAsia"/>
          <w:sz w:val="28"/>
          <w:szCs w:val="28"/>
        </w:rPr>
        <w:t>5分钟</w:t>
      </w:r>
      <w:r>
        <w:rPr>
          <w:rFonts w:ascii="楷体_GB2312" w:eastAsia="楷体_GB2312" w:hAnsi="楷体_GB2312" w:cs="楷体_GB2312" w:hint="eastAsia"/>
          <w:sz w:val="28"/>
          <w:szCs w:val="28"/>
        </w:rPr>
        <w:t>的项目路演</w:t>
      </w:r>
      <w:r>
        <w:rPr>
          <w:rFonts w:ascii="楷体_GB2312" w:eastAsia="楷体_GB2312" w:hAnsi="楷体_GB2312" w:cs="楷体_GB2312" w:hint="eastAsia"/>
          <w:sz w:val="28"/>
          <w:szCs w:val="28"/>
        </w:rPr>
        <w:t>;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lastRenderedPageBreak/>
        <w:t>(2)</w:t>
      </w:r>
      <w:r>
        <w:rPr>
          <w:rFonts w:ascii="楷体_GB2312" w:eastAsia="楷体_GB2312" w:hAnsi="楷体_GB2312" w:cs="楷体_GB2312" w:hint="eastAsia"/>
          <w:sz w:val="28"/>
          <w:szCs w:val="28"/>
        </w:rPr>
        <w:t>每位选手路演结束后，选手进行现场答辩</w:t>
      </w:r>
      <w:r>
        <w:rPr>
          <w:rFonts w:ascii="楷体_GB2312" w:eastAsia="楷体_GB2312" w:hAnsi="楷体_GB2312" w:cs="楷体_GB2312" w:hint="eastAsia"/>
          <w:sz w:val="28"/>
          <w:szCs w:val="28"/>
        </w:rPr>
        <w:t>;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(3) </w:t>
      </w:r>
      <w:r>
        <w:rPr>
          <w:rFonts w:ascii="楷体_GB2312" w:eastAsia="楷体_GB2312" w:hAnsi="楷体_GB2312" w:cs="楷体_GB2312" w:hint="eastAsia"/>
          <w:sz w:val="28"/>
          <w:szCs w:val="28"/>
        </w:rPr>
        <w:t>比赛结束后，评委进行项目</w:t>
      </w:r>
      <w:r>
        <w:rPr>
          <w:rFonts w:ascii="楷体_GB2312" w:eastAsia="楷体_GB2312" w:hAnsi="楷体_GB2312" w:cs="楷体_GB2312" w:hint="eastAsia"/>
          <w:sz w:val="28"/>
          <w:szCs w:val="28"/>
        </w:rPr>
        <w:t>PPT</w:t>
      </w:r>
      <w:r>
        <w:rPr>
          <w:rFonts w:ascii="楷体_GB2312" w:eastAsia="楷体_GB2312" w:hAnsi="楷体_GB2312" w:cs="楷体_GB2312" w:hint="eastAsia"/>
          <w:sz w:val="28"/>
          <w:szCs w:val="28"/>
        </w:rPr>
        <w:t>和路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演以及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答辩打分，工作人员根据项目计划书得分情况、现场得分情况汇总每位选手的比赛成绩，评选出比赛名次。</w:t>
      </w:r>
    </w:p>
    <w:p w:rsidR="00533E2D" w:rsidRDefault="00B47C9A">
      <w:pPr>
        <w:ind w:firstLineChars="200" w:firstLine="562"/>
        <w:jc w:val="left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九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比赛说明：</w:t>
      </w:r>
    </w:p>
    <w:p w:rsidR="00533E2D" w:rsidRDefault="00B47C9A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、参赛选手需提前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30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分钟到场并在签到处签到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,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比赛正式开始后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10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分钟不到者视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为弃权；</w:t>
      </w:r>
    </w:p>
    <w:p w:rsidR="00533E2D" w:rsidRDefault="00B47C9A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、参赛选手根据抽签顺序上台比赛；</w:t>
      </w:r>
    </w:p>
    <w:p w:rsidR="00533E2D" w:rsidRDefault="00B47C9A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、评委现场对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PPT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展示，项目路演和答辩三个环节评分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;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4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、（一）本次比赛设定：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jc w:val="both"/>
        <w:rPr>
          <w:rFonts w:ascii="楷体" w:eastAsia="楷体" w:hAnsi="楷体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sz w:val="28"/>
          <w:szCs w:val="28"/>
          <w:shd w:val="clear" w:color="auto" w:fill="FFFFFF"/>
        </w:rPr>
        <w:t>大赛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评出最佳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PPT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制作一、二、三等奖。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jc w:val="both"/>
        <w:rPr>
          <w:rFonts w:ascii="楷体" w:eastAsia="楷体" w:hAnsi="楷体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sz w:val="28"/>
          <w:szCs w:val="28"/>
          <w:shd w:val="clear" w:color="auto" w:fill="FFFFFF"/>
        </w:rPr>
        <w:t>大赛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评出最</w:t>
      </w:r>
      <w:proofErr w:type="gramStart"/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具创业</w:t>
      </w:r>
      <w:proofErr w:type="gramEnd"/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精神演讲人员一、二、三等奖。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jc w:val="both"/>
        <w:rPr>
          <w:rFonts w:ascii="楷体" w:eastAsia="楷体" w:hAnsi="楷体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sz w:val="28"/>
          <w:szCs w:val="28"/>
          <w:shd w:val="clear" w:color="auto" w:fill="FFFFFF"/>
        </w:rPr>
        <w:t>大赛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评出</w:t>
      </w:r>
      <w:proofErr w:type="gramStart"/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最佳项目</w:t>
      </w:r>
      <w:proofErr w:type="gramEnd"/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奖一、二、三等奖。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jc w:val="both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sz w:val="28"/>
          <w:szCs w:val="28"/>
          <w:shd w:val="clear" w:color="auto" w:fill="FFFFFF"/>
        </w:rPr>
        <w:t>大赛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  <w:shd w:val="clear" w:color="auto" w:fill="FFFFFF"/>
        </w:rPr>
        <w:t>评出</w:t>
      </w: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“优秀指导教师奖”三名和“最佳组织奖”。</w:t>
      </w:r>
    </w:p>
    <w:p w:rsidR="00533E2D" w:rsidRDefault="00B47C9A" w:rsidP="00201A5B">
      <w:pPr>
        <w:pStyle w:val="a6"/>
        <w:widowControl/>
        <w:shd w:val="clear" w:color="auto" w:fill="FFFFFF"/>
        <w:spacing w:beforeAutospacing="0" w:afterAutospacing="0" w:line="360" w:lineRule="auto"/>
        <w:ind w:firstLineChars="300" w:firstLine="840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（二）凡入选本次大学生创新创业大赛的项目和个人，学校优先推荐：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参加</w:t>
      </w: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2019</w:t>
      </w: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年各类省级和国家级创新创业大赛。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参加学校双创精英班培训，认定学分。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参加创新创业教育学院校企合作教育项目。</w:t>
      </w:r>
    </w:p>
    <w:p w:rsidR="00533E2D" w:rsidRDefault="00B47C9A">
      <w:pPr>
        <w:pStyle w:val="a6"/>
        <w:widowControl/>
        <w:shd w:val="clear" w:color="auto" w:fill="FFFFFF"/>
        <w:spacing w:beforeAutospacing="0" w:afterAutospacing="0" w:line="360" w:lineRule="auto"/>
        <w:ind w:firstLineChars="500" w:firstLine="1400"/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t>优先入住创业工坊，安排专门指导老师优先享受学校各项孵化政策。</w:t>
      </w:r>
    </w:p>
    <w:p w:rsidR="00201A5B" w:rsidRDefault="00201A5B" w:rsidP="00201A5B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楷体" w:eastAsia="楷体" w:hAnsi="楷体" w:cstheme="minorEastAsi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theme="minorEastAsia" w:hint="eastAsia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5、</w:t>
      </w:r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12月14日前需要以学院为单位上交所有参加初赛选手</w:t>
      </w:r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的</w:t>
      </w:r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纸质和电子版项目计划书和统计表（附件），便于将来学分认定。上交</w:t>
      </w:r>
      <w:proofErr w:type="gramStart"/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至教学</w:t>
      </w:r>
      <w:proofErr w:type="gramEnd"/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2号楼305室，许老师，内线6198。</w:t>
      </w:r>
      <w:hyperlink r:id="rId9" w:history="1">
        <w:r w:rsidRPr="004F0BF7">
          <w:rPr>
            <w:rFonts w:hint="eastAsia"/>
            <w:kern w:val="2"/>
          </w:rPr>
          <w:t>邮箱</w:t>
        </w:r>
        <w:r w:rsidRPr="004F0BF7">
          <w:rPr>
            <w:rFonts w:hint="eastAsia"/>
            <w:kern w:val="2"/>
          </w:rPr>
          <w:t>42349759@qq.</w:t>
        </w:r>
        <w:proofErr w:type="gramStart"/>
        <w:r w:rsidRPr="004F0BF7">
          <w:rPr>
            <w:rFonts w:hint="eastAsia"/>
            <w:kern w:val="2"/>
          </w:rPr>
          <w:t>com</w:t>
        </w:r>
      </w:hyperlink>
      <w:r w:rsidRPr="004F0BF7">
        <w:rPr>
          <w:rFonts w:ascii="楷体_GB2312" w:eastAsia="楷体_GB2312" w:hAnsi="楷体_GB2312" w:cs="楷体_GB2312" w:hint="eastAsia"/>
          <w:kern w:val="2"/>
          <w:sz w:val="28"/>
          <w:szCs w:val="28"/>
        </w:rPr>
        <w:t>.</w:t>
      </w:r>
      <w:proofErr w:type="gramEnd"/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sz w:val="28"/>
          <w:szCs w:val="28"/>
        </w:rPr>
        <w:t>、大赛未尽事宜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由创新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创业教育学院、管理学院解释。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7</w:t>
      </w:r>
      <w:r>
        <w:rPr>
          <w:rFonts w:ascii="楷体_GB2312" w:eastAsia="楷体_GB2312" w:hAnsi="楷体_GB2312" w:cs="楷体_GB2312" w:hint="eastAsia"/>
          <w:sz w:val="28"/>
          <w:szCs w:val="28"/>
        </w:rPr>
        <w:t>、管理学院联系人：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许广庆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内线：</w:t>
      </w:r>
      <w:r>
        <w:rPr>
          <w:rFonts w:ascii="楷体_GB2312" w:eastAsia="楷体_GB2312" w:hAnsi="楷体_GB2312" w:cs="楷体_GB2312" w:hint="eastAsia"/>
          <w:sz w:val="28"/>
          <w:szCs w:val="28"/>
        </w:rPr>
        <w:t>6198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创新创业教育学院：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李海雷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内线：</w:t>
      </w:r>
      <w:r>
        <w:rPr>
          <w:rFonts w:ascii="楷体_GB2312" w:eastAsia="楷体_GB2312" w:hAnsi="楷体_GB2312" w:cs="楷体_GB2312" w:hint="eastAsia"/>
          <w:sz w:val="28"/>
          <w:szCs w:val="28"/>
        </w:rPr>
        <w:t>3073</w:t>
      </w:r>
    </w:p>
    <w:p w:rsidR="00533E2D" w:rsidRDefault="00B47C9A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 </w:t>
      </w:r>
    </w:p>
    <w:p w:rsidR="00533E2D" w:rsidRDefault="00B47C9A">
      <w:pPr>
        <w:ind w:firstLineChars="1450" w:firstLine="40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创新创业教育学院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</w:t>
      </w:r>
      <w:r>
        <w:rPr>
          <w:rFonts w:ascii="楷体_GB2312" w:eastAsia="楷体_GB2312" w:hAnsi="楷体_GB2312" w:cs="楷体_GB2312" w:hint="eastAsia"/>
          <w:sz w:val="28"/>
          <w:szCs w:val="28"/>
        </w:rPr>
        <w:t>管理学院</w:t>
      </w:r>
    </w:p>
    <w:p w:rsidR="00533E2D" w:rsidRDefault="00B47C9A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</w:rPr>
        <w:t>11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sz w:val="28"/>
          <w:szCs w:val="28"/>
        </w:rPr>
        <w:t>27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533E2D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533E2D" w:rsidRDefault="00B47C9A">
      <w:pPr>
        <w:tabs>
          <w:tab w:val="left" w:pos="210"/>
          <w:tab w:val="center" w:pos="4153"/>
        </w:tabs>
        <w:rPr>
          <w:rFonts w:ascii="楷体_GB2312" w:eastAsia="楷体_GB2312" w:hAnsi="楷体_GB2312" w:cs="楷体_GB2312"/>
          <w:bCs/>
          <w:sz w:val="28"/>
          <w:szCs w:val="18"/>
        </w:rPr>
      </w:pPr>
      <w:r>
        <w:rPr>
          <w:rFonts w:ascii="楷体_GB2312" w:eastAsia="楷体_GB2312" w:hAnsi="楷体_GB2312" w:cs="楷体_GB2312" w:hint="eastAsia"/>
          <w:bCs/>
          <w:sz w:val="28"/>
          <w:szCs w:val="18"/>
        </w:rPr>
        <w:lastRenderedPageBreak/>
        <w:t>附件</w:t>
      </w:r>
      <w:r>
        <w:rPr>
          <w:rFonts w:ascii="楷体_GB2312" w:eastAsia="楷体_GB2312" w:hAnsi="楷体_GB2312" w:cs="楷体_GB2312" w:hint="eastAsia"/>
          <w:bCs/>
          <w:sz w:val="28"/>
          <w:szCs w:val="18"/>
        </w:rPr>
        <w:t>1</w:t>
      </w:r>
      <w:r>
        <w:rPr>
          <w:rFonts w:ascii="楷体_GB2312" w:eastAsia="楷体_GB2312" w:hAnsi="楷体_GB2312" w:cs="楷体_GB2312" w:hint="eastAsia"/>
          <w:bCs/>
          <w:sz w:val="28"/>
          <w:szCs w:val="18"/>
        </w:rPr>
        <w:t>：</w:t>
      </w:r>
    </w:p>
    <w:p w:rsidR="00533E2D" w:rsidRDefault="00B47C9A">
      <w:pPr>
        <w:tabs>
          <w:tab w:val="left" w:pos="210"/>
          <w:tab w:val="center" w:pos="4153"/>
        </w:tabs>
        <w:jc w:val="center"/>
        <w:rPr>
          <w:rFonts w:ascii="楷体_GB2312" w:eastAsia="楷体_GB2312" w:hAnsi="楷体_GB2312" w:cs="楷体_GB2312"/>
          <w:b/>
          <w:sz w:val="44"/>
        </w:rPr>
      </w:pPr>
      <w:r>
        <w:rPr>
          <w:rFonts w:ascii="楷体_GB2312" w:eastAsia="楷体_GB2312" w:hAnsi="楷体_GB2312" w:cs="楷体_GB2312" w:hint="eastAsia"/>
          <w:b/>
          <w:sz w:val="44"/>
        </w:rPr>
        <w:t>大学生创新创业大赛</w:t>
      </w:r>
    </w:p>
    <w:p w:rsidR="00533E2D" w:rsidRDefault="00B47C9A">
      <w:pPr>
        <w:pStyle w:val="d1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参赛选手登记表</w:t>
      </w:r>
    </w:p>
    <w:p w:rsidR="00533E2D" w:rsidRDefault="00B47C9A">
      <w:pPr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    </w:t>
      </w:r>
    </w:p>
    <w:tbl>
      <w:tblPr>
        <w:tblW w:w="85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00"/>
        <w:gridCol w:w="961"/>
        <w:gridCol w:w="2099"/>
        <w:gridCol w:w="1800"/>
        <w:gridCol w:w="1754"/>
      </w:tblGrid>
      <w:tr w:rsidR="00533E2D">
        <w:trPr>
          <w:trHeight w:val="922"/>
        </w:trPr>
        <w:tc>
          <w:tcPr>
            <w:tcW w:w="1008" w:type="dxa"/>
            <w:vAlign w:val="center"/>
          </w:tcPr>
          <w:p w:rsidR="00533E2D" w:rsidRDefault="00B47C9A">
            <w:pPr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533E2D" w:rsidRDefault="00B47C9A">
            <w:pPr>
              <w:ind w:leftChars="7" w:left="15" w:firstLineChars="50" w:firstLine="10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院系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B47C9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班级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B47C9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项目名称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B47C9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B47C9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QQ</w:t>
            </w:r>
          </w:p>
        </w:tc>
      </w:tr>
      <w:tr w:rsidR="00533E2D">
        <w:trPr>
          <w:trHeight w:val="661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  <w:tr w:rsidR="00533E2D">
        <w:trPr>
          <w:trHeight w:val="646"/>
        </w:trPr>
        <w:tc>
          <w:tcPr>
            <w:tcW w:w="1008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E2D" w:rsidRDefault="00533E2D">
            <w:pPr>
              <w:rPr>
                <w:rFonts w:ascii="楷体_GB2312" w:eastAsia="楷体_GB2312"/>
              </w:rPr>
            </w:pPr>
          </w:p>
        </w:tc>
      </w:tr>
    </w:tbl>
    <w:p w:rsidR="00533E2D" w:rsidRDefault="00533E2D">
      <w:pPr>
        <w:jc w:val="left"/>
        <w:rPr>
          <w:b/>
          <w:sz w:val="44"/>
          <w:szCs w:val="44"/>
        </w:rPr>
      </w:pPr>
    </w:p>
    <w:sectPr w:rsidR="0053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9A" w:rsidRDefault="00B47C9A" w:rsidP="003F22D2">
      <w:r>
        <w:separator/>
      </w:r>
    </w:p>
  </w:endnote>
  <w:endnote w:type="continuationSeparator" w:id="0">
    <w:p w:rsidR="00B47C9A" w:rsidRDefault="00B47C9A" w:rsidP="003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9A" w:rsidRDefault="00B47C9A" w:rsidP="003F22D2">
      <w:r>
        <w:separator/>
      </w:r>
    </w:p>
  </w:footnote>
  <w:footnote w:type="continuationSeparator" w:id="0">
    <w:p w:rsidR="00B47C9A" w:rsidRDefault="00B47C9A" w:rsidP="003F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39CA8"/>
    <w:multiLevelType w:val="singleLevel"/>
    <w:tmpl w:val="A1239C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C9029D"/>
    <w:multiLevelType w:val="multilevel"/>
    <w:tmpl w:val="1CC9029D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B4E80"/>
    <w:rsid w:val="0000382F"/>
    <w:rsid w:val="00017E02"/>
    <w:rsid w:val="0003034E"/>
    <w:rsid w:val="000F5349"/>
    <w:rsid w:val="001B4990"/>
    <w:rsid w:val="00201A5B"/>
    <w:rsid w:val="00247096"/>
    <w:rsid w:val="00275812"/>
    <w:rsid w:val="00304983"/>
    <w:rsid w:val="00347A94"/>
    <w:rsid w:val="00383520"/>
    <w:rsid w:val="003846B3"/>
    <w:rsid w:val="00394294"/>
    <w:rsid w:val="003A0CBA"/>
    <w:rsid w:val="003F22D2"/>
    <w:rsid w:val="004F0BF7"/>
    <w:rsid w:val="0051531B"/>
    <w:rsid w:val="005218B2"/>
    <w:rsid w:val="00533E2D"/>
    <w:rsid w:val="005D538E"/>
    <w:rsid w:val="005D7048"/>
    <w:rsid w:val="005E25C1"/>
    <w:rsid w:val="00612AE9"/>
    <w:rsid w:val="00641C56"/>
    <w:rsid w:val="007069DA"/>
    <w:rsid w:val="007C787D"/>
    <w:rsid w:val="00810D0D"/>
    <w:rsid w:val="00832CC2"/>
    <w:rsid w:val="008A2E03"/>
    <w:rsid w:val="009F3D1D"/>
    <w:rsid w:val="00A4405F"/>
    <w:rsid w:val="00A72AEA"/>
    <w:rsid w:val="00A73466"/>
    <w:rsid w:val="00AC6C81"/>
    <w:rsid w:val="00B14809"/>
    <w:rsid w:val="00B47C9A"/>
    <w:rsid w:val="00BA5399"/>
    <w:rsid w:val="00C61BA3"/>
    <w:rsid w:val="00D21BA3"/>
    <w:rsid w:val="00D220C1"/>
    <w:rsid w:val="00D54D10"/>
    <w:rsid w:val="00DD3E6A"/>
    <w:rsid w:val="00E144C9"/>
    <w:rsid w:val="00E945B6"/>
    <w:rsid w:val="00F60FC9"/>
    <w:rsid w:val="00F67AD0"/>
    <w:rsid w:val="00F943F5"/>
    <w:rsid w:val="0D8B4E80"/>
    <w:rsid w:val="40DD2605"/>
    <w:rsid w:val="42812322"/>
    <w:rsid w:val="6D1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1">
    <w:name w:val="d1"/>
    <w:basedOn w:val="a"/>
    <w:qFormat/>
    <w:pPr>
      <w:jc w:val="center"/>
    </w:pPr>
    <w:rPr>
      <w:rFonts w:ascii="Times New Roman" w:eastAsia="黑体" w:hAnsi="Times New Roman"/>
      <w:b/>
      <w:sz w:val="4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1">
    <w:name w:val="d1"/>
    <w:basedOn w:val="a"/>
    <w:qFormat/>
    <w:pPr>
      <w:jc w:val="center"/>
    </w:pPr>
    <w:rPr>
      <w:rFonts w:ascii="Times New Roman" w:eastAsia="黑体" w:hAnsi="Times New Roman"/>
      <w:b/>
      <w:sz w:val="4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7038;&#31665;4234975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彭凯</cp:lastModifiedBy>
  <cp:revision>19</cp:revision>
  <dcterms:created xsi:type="dcterms:W3CDTF">2018-11-27T03:01:00Z</dcterms:created>
  <dcterms:modified xsi:type="dcterms:W3CDTF">2018-11-27T07:17:00Z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